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widowControl/>
        <w:jc w:val="left"/>
        <w:rPr>
          <w:rFonts w:ascii="黑体" w:eastAsia="黑体" w:hAnsi="黑体" w:cs="宋体" w:hint="eastAsia"/>
          <w:color w:val="333333"/>
          <w:sz w:val="32"/>
          <w:szCs w:val="32"/>
        </w:rPr>
      </w:pPr>
      <w:bookmarkStart w:id="0" w:name="_GoBack"/>
      <w:bookmarkEnd w:id="0"/>
      <w:r>
        <w:rPr>
          <w:rFonts w:ascii="黑体" w:eastAsia="黑体" w:hAnsi="黑体" w:cs="宋体" w:hint="eastAsia"/>
          <w:color w:val="333333"/>
          <w:sz w:val="32"/>
          <w:szCs w:val="32"/>
        </w:rPr>
        <w:t xml:space="preserve">附件4：</w:t>
      </w: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 xml:space="preserve">自治区本级部门单位整体支出绩效</w:t>
      </w:r>
    </w:p>
    <w:p>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 xml:space="preserve">自评报告</w:t>
      </w: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 xml:space="preserve">（</w:t>
      </w:r>
      <w:r>
        <w:rPr>
          <w:rFonts w:ascii="仿宋_GB2312" w:eastAsia="仿宋_GB2312" w:hAnsi="宋体" w:hint="eastAsia"/>
          <w:b/>
          <w:sz w:val="32"/>
          <w:szCs w:val="32"/>
        </w:rPr>
        <w:t xml:space="preserve">2024</w:t>
      </w:r>
      <w:r>
        <w:rPr>
          <w:rFonts w:eastAsia="仿宋_GB2312" w:hAnsi="宋体" w:cs="宋体" w:hint="eastAsia"/>
          <w:kern w:val="0"/>
          <w:sz w:val="36"/>
          <w:szCs w:val="36"/>
        </w:rPr>
        <w:t xml:space="preserve">年度）</w:t>
      </w:r>
    </w:p>
    <w:p>
      <w:pPr>
        <w:spacing w:line="540" w:lineRule="exact"/>
        <w:jc w:val="center"/>
        <w:rPr>
          <w:rFonts w:eastAsia="仿宋_GB2312" w:hAnsi="宋体" w:cs="宋体" w:hint="eastAsia"/>
          <w:kern w:val="0"/>
          <w:sz w:val="30"/>
          <w:szCs w:val="30"/>
        </w:rPr>
      </w:pPr>
    </w:p>
    <w:p>
      <w:pPr>
        <w:spacing w:line="540" w:lineRule="exact"/>
        <w:jc w:val="center"/>
        <w:rPr>
          <w:rFonts w:eastAsia="仿宋_GB2312" w:hAnsi="宋体" w:cs="宋体" w:hint="eastAsia"/>
          <w:kern w:val="0"/>
          <w:sz w:val="30"/>
          <w:szCs w:val="30"/>
        </w:rPr>
      </w:pPr>
    </w:p>
    <w:p>
      <w:pPr>
        <w:spacing w:line="540" w:lineRule="exact"/>
        <w:jc w:val="center"/>
        <w:rPr>
          <w:rFonts w:ascii="方正小标宋_GBK" w:eastAsia="方正小标宋_GBK" w:hAnsi="宋体" w:cs="宋体" w:hint="eastAsia"/>
          <w:kern w:val="0"/>
          <w:sz w:val="36"/>
          <w:szCs w:val="36"/>
        </w:rPr>
      </w:pPr>
      <w:r>
        <w:rPr>
          <w:rFonts w:ascii="方正小标宋_GBK" w:eastAsia="方正小标宋_GBK" w:hAnsi="宋体" w:cs="宋体" w:hint="eastAsia"/>
          <w:kern w:val="0"/>
          <w:sz w:val="36"/>
          <w:szCs w:val="36"/>
        </w:rPr>
        <w:t xml:space="preserve">参考模板</w:t>
      </w:r>
    </w:p>
    <w:p>
      <w:pPr>
        <w:spacing w:line="540" w:lineRule="exact"/>
        <w:jc w:val="center"/>
        <w:rPr>
          <w:rFonts w:eastAsia="仿宋_GB2312" w:hAnsi="宋体" w:cs="宋体" w:hint="eastAsia"/>
          <w:kern w:val="0"/>
          <w:sz w:val="30"/>
          <w:szCs w:val="30"/>
        </w:rPr>
      </w:pPr>
    </w:p>
    <w:p>
      <w:pPr>
        <w:spacing w:line="540" w:lineRule="exact"/>
        <w:jc w:val="center"/>
        <w:rPr>
          <w:rFonts w:eastAsia="仿宋_GB2312" w:hAnsi="宋体" w:cs="宋体" w:hint="eastAsia"/>
          <w:kern w:val="0"/>
          <w:sz w:val="30"/>
          <w:szCs w:val="30"/>
        </w:rPr>
      </w:pPr>
    </w:p>
    <w:p>
      <w:pPr>
        <w:spacing w:line="540" w:lineRule="exact"/>
        <w:jc w:val="center"/>
        <w:rPr>
          <w:rFonts w:eastAsia="仿宋_GB2312" w:hAnsi="宋体" w:cs="宋体" w:hint="eastAsia"/>
          <w:kern w:val="0"/>
          <w:sz w:val="30"/>
          <w:szCs w:val="30"/>
        </w:rPr>
      </w:pPr>
    </w:p>
    <w:p>
      <w:pPr>
        <w:spacing w:line="540" w:lineRule="exact"/>
        <w:rPr>
          <w:rFonts w:eastAsia="仿宋_GB2312" w:hAnsi="宋体" w:cs="宋体" w:hint="eastAsia"/>
          <w:kern w:val="0"/>
          <w:sz w:val="30"/>
          <w:szCs w:val="30"/>
        </w:rPr>
      </w:pPr>
    </w:p>
    <w:p>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hint="eastAsia"/>
          <w:kern w:val="0"/>
          <w:sz w:val="36"/>
          <w:szCs w:val="36"/>
        </w:rPr>
      </w:pPr>
      <w:r>
        <w:rPr>
          <w:rFonts w:eastAsia="仿宋_GB2312" w:hAnsi="宋体" w:cs="宋体" w:hint="eastAsia"/>
          <w:kern w:val="0"/>
          <w:sz w:val="36"/>
          <w:szCs w:val="36"/>
        </w:rPr>
        <w:t xml:space="preserve">部门单位名称（公章）：</w:t>
      </w:r>
    </w:p>
    <w:p>
      <w:pPr>
        <w:spacing w:line="700" w:lineRule="exact"/>
        <w:ind w:firstLine="850" w:firstLineChars="236"/>
        <w:jc w:val="left"/>
        <w:rPr>
          <w:rFonts w:eastAsia="仿宋_GB2312" w:hAnsi="宋体" w:cs="宋体" w:hint="eastAsia"/>
          <w:kern w:val="0"/>
          <w:sz w:val="36"/>
          <w:szCs w:val="36"/>
        </w:rPr>
      </w:pPr>
      <w:r>
        <w:rPr>
          <w:rFonts w:eastAsia="仿宋_GB2312" w:hAnsi="宋体" w:cs="宋体" w:hint="eastAsia"/>
          <w:kern w:val="0"/>
          <w:sz w:val="36"/>
          <w:szCs w:val="36"/>
        </w:rPr>
        <w:t xml:space="preserve">填报时间：     年     月     日</w:t>
      </w:r>
    </w:p>
    <w:p>
      <w:pPr>
        <w:spacing w:line="700" w:lineRule="exact"/>
        <w:jc w:val="left"/>
        <w:rPr>
          <w:rFonts w:eastAsia="仿宋_GB2312" w:hAnsi="宋体" w:cs="宋体" w:hint="eastAsia"/>
          <w:kern w:val="0"/>
          <w:sz w:val="36"/>
          <w:szCs w:val="36"/>
        </w:rPr>
      </w:pPr>
    </w:p>
    <w:p>
      <w:pPr>
        <w:spacing w:line="700" w:lineRule="exact"/>
        <w:jc w:val="left"/>
        <w:rPr>
          <w:rFonts w:eastAsia="仿宋_GB2312" w:hAnsi="宋体" w:cs="宋体" w:hint="eastAsia"/>
          <w:kern w:val="0"/>
          <w:sz w:val="36"/>
          <w:szCs w:val="36"/>
        </w:rPr>
      </w:pPr>
    </w:p>
    <w:p>
      <w:pPr>
        <w:spacing w:line="700" w:lineRule="exact"/>
        <w:jc w:val="left"/>
        <w:rPr>
          <w:rFonts w:eastAsia="仿宋_GB2312" w:hAnsi="宋体" w:cs="宋体" w:hint="eastAsia"/>
          <w:kern w:val="0"/>
          <w:sz w:val="36"/>
          <w:szCs w:val="36"/>
        </w:rPr>
      </w:pP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基本概况</w:t>
      </w:r>
    </w:p>
    <w:p>
      <w:pPr>
        <w:snapToGrid w:val="0"/>
        <w:spacing w:line="540" w:lineRule="exact"/>
        <w:ind w:left="993"/>
        <w:rPr>
          <w:rFonts w:ascii="黑体" w:eastAsia="黑体" w:hAnsi="黑体" w:cs="宋体" w:hint="eastAsia"/>
          <w:bCs/>
          <w:color w:val="333333"/>
          <w:sz w:val="32"/>
          <w:szCs w:val="32"/>
        </w:rPr>
      </w:pPr>
      <w:r>
        <w:rPr>
          <w:rStyle w:val="Strong"/>
          <w:rFonts w:ascii="楷体" w:eastAsia="楷体" w:hAnsi="楷体" w:cs="楷体" w:hint="eastAsia"/>
          <w:b w:val="0"/>
          <w:spacing w:val="-4"/>
          <w:sz w:val="32"/>
          <w:szCs w:val="32"/>
        </w:rPr>
        <w:t xml:space="preserve">(</w:t>
      </w:r>
      <w:bookmarkStart w:id="1" w:name="_Hlk199153249"/>
      <w:r>
        <w:rPr>
          <w:rStyle w:val="Strong"/>
          <w:rFonts w:ascii="楷体" w:eastAsia="楷体" w:hAnsi="楷体" w:cs="楷体" w:hint="eastAsia"/>
          <w:b w:val="0"/>
          <w:spacing w:val="-4"/>
          <w:sz w:val="32"/>
          <w:szCs w:val="32"/>
        </w:rPr>
        <w:t xml:space="preserve">一)</w:t>
      </w:r>
      <w:bookmarkEnd w:id="1"/>
      <w:r>
        <w:rPr>
          <w:rFonts w:ascii="黑体" w:eastAsia="黑体" w:hAnsi="黑体" w:cs="宋体" w:hint="eastAsia"/>
          <w:bCs/>
          <w:color w:val="333333"/>
          <w:sz w:val="32"/>
          <w:szCs w:val="32"/>
        </w:rPr>
        <w:t xml:space="preserve">部门单位基本情况:</w:t>
      </w:r>
    </w:p>
    <w:p>
      <w:pPr>
        <w:spacing w:line="600" w:lineRule="exact"/>
        <w:ind w:left="1276" w:firstLine="13" w:firstLineChars="4"/>
        <w:jc w:val="left"/>
        <w:rPr>
          <w:rFonts w:ascii="仿宋_GB2312" w:eastAsia="仿宋_GB2312" w:hAnsi="宋体" w:hint="eastAsia"/>
          <w:b/>
          <w:sz w:val="32"/>
          <w:szCs w:val="32"/>
        </w:rPr>
      </w:pPr>
      <w:r>
        <w:rPr>
          <w:rFonts w:ascii="仿宋_GB2312" w:eastAsia="仿宋_GB2312" w:hAnsi="宋体" w:hint="eastAsia"/>
          <w:b/>
          <w:sz w:val="32"/>
          <w:szCs w:val="32"/>
        </w:rPr>
        <w:t xml:space="preserve">1.主要职能</w:t>
      </w:r>
      <w:r>
        <w:cr/>
      </w:r>
      <w:r>
        <w:rPr>
          <w:rFonts w:ascii="仿宋_GB2312" w:eastAsia="仿宋_GB2312" w:hAnsi="宋体" w:hint="eastAsia"/>
          <w:b/>
          <w:sz w:val="32"/>
          <w:szCs w:val="32"/>
        </w:rPr>
        <w:br/>
      </w:r>
      <w:r>
        <w:rPr>
          <w:rFonts w:ascii="仿宋_GB2312" w:eastAsia="仿宋_GB2312" w:hAnsi="宋体" w:hint="eastAsia"/>
          <w:b/>
          <w:sz w:val="32"/>
          <w:szCs w:val="32"/>
        </w:rPr>
        <w:t xml:space="preserve">裕民县农业机械化技术学校的主要职能是：</w:t>
      </w:r>
      <w:r>
        <w:cr/>
      </w:r>
      <w:r>
        <w:rPr>
          <w:rFonts w:ascii="仿宋_GB2312" w:eastAsia="仿宋_GB2312" w:hAnsi="宋体" w:hint="eastAsia"/>
          <w:b/>
          <w:sz w:val="32"/>
          <w:szCs w:val="32"/>
        </w:rPr>
        <w:br/>
      </w:r>
      <w:r>
        <w:rPr>
          <w:rFonts w:ascii="仿宋_GB2312" w:eastAsia="仿宋_GB2312" w:hAnsi="宋体" w:hint="eastAsia"/>
          <w:b/>
          <w:sz w:val="32"/>
          <w:szCs w:val="32"/>
        </w:rPr>
        <w:t xml:space="preserve">(1)全面贯彻执行《新疆维吾尔自治区农业机械管理条例》和</w:t>
      </w:r>
      <w:r>
        <w:rPr>
          <w:rFonts w:ascii="仿宋_GB2312" w:eastAsia="仿宋_GB2312" w:hAnsi="宋体" w:hint="eastAsia"/>
          <w:b/>
          <w:sz w:val="32"/>
          <w:szCs w:val="32"/>
        </w:rPr>
        <w:t xml:space="preserve">农业农村部</w:t>
      </w:r>
      <w:r>
        <w:rPr>
          <w:rFonts w:ascii="仿宋_GB2312" w:eastAsia="仿宋_GB2312" w:hAnsi="宋体" w:hint="eastAsia"/>
          <w:b/>
          <w:sz w:val="32"/>
          <w:szCs w:val="32"/>
        </w:rPr>
        <w:t xml:space="preserve">《拖拉机驾驶培训管理办法》《农机成人教育暂行规定》。</w:t>
      </w:r>
      <w:r>
        <w:cr/>
      </w:r>
      <w:r>
        <w:rPr>
          <w:rFonts w:ascii="仿宋_GB2312" w:eastAsia="仿宋_GB2312" w:hAnsi="宋体" w:hint="eastAsia"/>
          <w:b/>
          <w:sz w:val="32"/>
          <w:szCs w:val="32"/>
        </w:rPr>
        <w:br/>
      </w:r>
      <w:r>
        <w:rPr>
          <w:rFonts w:ascii="仿宋_GB2312" w:eastAsia="仿宋_GB2312" w:hAnsi="宋体" w:hint="eastAsia"/>
          <w:b/>
          <w:sz w:val="32"/>
          <w:szCs w:val="32"/>
        </w:rPr>
        <w:t xml:space="preserve">(2)根据农业机械化事业发展的需要,为农业机械使用维修、管理等人员提供多种形式,多层次的农业机械化技术培训。</w:t>
      </w:r>
      <w:r>
        <w:cr/>
      </w:r>
      <w:r>
        <w:rPr>
          <w:rFonts w:ascii="仿宋_GB2312" w:eastAsia="仿宋_GB2312" w:hAnsi="宋体" w:hint="eastAsia"/>
          <w:b/>
          <w:sz w:val="32"/>
          <w:szCs w:val="32"/>
        </w:rPr>
        <w:br/>
      </w:r>
      <w:r>
        <w:rPr>
          <w:rFonts w:ascii="仿宋_GB2312" w:eastAsia="仿宋_GB2312" w:hAnsi="宋体" w:hint="eastAsia"/>
          <w:b/>
          <w:sz w:val="32"/>
          <w:szCs w:val="32"/>
        </w:rPr>
        <w:t xml:space="preserve">(3)对全县范围内的无证驾驶员进行系统培训。</w:t>
      </w:r>
      <w:r>
        <w:cr/>
      </w:r>
      <w:r>
        <w:rPr>
          <w:rFonts w:ascii="仿宋_GB2312" w:eastAsia="仿宋_GB2312" w:hAnsi="宋体" w:hint="eastAsia"/>
          <w:b/>
          <w:sz w:val="32"/>
          <w:szCs w:val="32"/>
        </w:rPr>
        <w:br/>
      </w:r>
      <w:r>
        <w:rPr>
          <w:rFonts w:ascii="仿宋_GB2312" w:eastAsia="仿宋_GB2312" w:hAnsi="宋体" w:hint="eastAsia"/>
          <w:b/>
          <w:sz w:val="32"/>
          <w:szCs w:val="32"/>
        </w:rPr>
        <w:t xml:space="preserve">(4)对全县范围内农机行业特有工种进行职业技能培训。</w:t>
      </w:r>
      <w:r>
        <w:cr/>
      </w:r>
      <w:r>
        <w:rPr>
          <w:rFonts w:ascii="仿宋_GB2312" w:eastAsia="仿宋_GB2312" w:hAnsi="宋体" w:hint="eastAsia"/>
          <w:b/>
          <w:sz w:val="32"/>
          <w:szCs w:val="32"/>
        </w:rPr>
        <w:br/>
      </w:r>
      <w:r>
        <w:rPr>
          <w:rFonts w:ascii="仿宋_GB2312" w:eastAsia="仿宋_GB2312" w:hAnsi="宋体" w:hint="eastAsia"/>
          <w:b/>
          <w:sz w:val="32"/>
          <w:szCs w:val="32"/>
        </w:rPr>
        <w:t xml:space="preserve">(5)在全县范围内对农牧民进行农机基本知识和技能的普及活动。</w:t>
      </w:r>
      <w:r>
        <w:cr/>
      </w:r>
      <w:r>
        <w:rPr>
          <w:rFonts w:ascii="仿宋_GB2312" w:eastAsia="仿宋_GB2312" w:hAnsi="宋体" w:hint="eastAsia"/>
          <w:b/>
          <w:sz w:val="32"/>
          <w:szCs w:val="32"/>
        </w:rPr>
        <w:br/>
      </w:r>
      <w:r>
        <w:rPr>
          <w:rFonts w:ascii="仿宋_GB2312" w:eastAsia="仿宋_GB2312" w:hAnsi="宋体" w:hint="eastAsia"/>
          <w:b/>
          <w:sz w:val="32"/>
          <w:szCs w:val="32"/>
        </w:rPr>
        <w:t xml:space="preserve">(6)做好科技兴农机,送教下乡,科技下乡活动。</w:t>
      </w:r>
      <w:r>
        <w:cr/>
      </w:r>
      <w:r>
        <w:rPr>
          <w:rFonts w:ascii="仿宋_GB2312" w:eastAsia="仿宋_GB2312" w:hAnsi="宋体" w:hint="eastAsia"/>
          <w:b/>
          <w:sz w:val="32"/>
          <w:szCs w:val="32"/>
        </w:rPr>
        <w:br/>
      </w:r>
      <w:r>
        <w:rPr>
          <w:rFonts w:ascii="仿宋_GB2312" w:eastAsia="仿宋_GB2312" w:hAnsi="宋体" w:hint="eastAsia"/>
          <w:b/>
          <w:sz w:val="32"/>
          <w:szCs w:val="32"/>
        </w:rPr>
        <w:t xml:space="preserve">(7)负责</w:t>
      </w:r>
      <w:r>
        <w:rPr>
          <w:rFonts w:ascii="仿宋_GB2312" w:eastAsia="仿宋_GB2312" w:hAnsi="宋体" w:hint="eastAsia"/>
          <w:b/>
          <w:sz w:val="32"/>
          <w:szCs w:val="32"/>
        </w:rPr>
        <w:t xml:space="preserve">制定</w:t>
      </w:r>
      <w:r>
        <w:rPr>
          <w:rFonts w:ascii="仿宋_GB2312" w:eastAsia="仿宋_GB2312" w:hAnsi="宋体" w:hint="eastAsia"/>
          <w:b/>
          <w:sz w:val="32"/>
          <w:szCs w:val="32"/>
        </w:rPr>
        <w:t xml:space="preserve">全县范围内的农机技术推广工作规划。</w:t>
      </w:r>
      <w:r>
        <w:cr/>
      </w:r>
      <w:r>
        <w:rPr>
          <w:rFonts w:ascii="仿宋_GB2312" w:eastAsia="仿宋_GB2312" w:hAnsi="宋体" w:hint="eastAsia"/>
          <w:b/>
          <w:sz w:val="32"/>
          <w:szCs w:val="32"/>
        </w:rPr>
        <w:br/>
      </w:r>
      <w:r>
        <w:rPr>
          <w:rFonts w:ascii="仿宋_GB2312" w:eastAsia="仿宋_GB2312" w:hAnsi="宋体" w:hint="eastAsia"/>
          <w:b/>
          <w:sz w:val="32"/>
          <w:szCs w:val="32"/>
        </w:rPr>
        <w:t xml:space="preserve">(8)组织实施全县范围内农机新技术、新机具的试验、示范和推广工作。</w:t>
      </w:r>
      <w:r>
        <w:cr/>
      </w:r>
      <w:r>
        <w:rPr>
          <w:rFonts w:ascii="仿宋_GB2312" w:eastAsia="仿宋_GB2312" w:hAnsi="宋体" w:hint="eastAsia"/>
          <w:b/>
          <w:sz w:val="32"/>
          <w:szCs w:val="32"/>
        </w:rPr>
        <w:br/>
      </w:r>
      <w:r>
        <w:rPr>
          <w:rFonts w:ascii="仿宋_GB2312" w:eastAsia="仿宋_GB2312" w:hAnsi="宋体" w:hint="eastAsia"/>
          <w:b/>
          <w:sz w:val="32"/>
          <w:szCs w:val="32"/>
        </w:rPr>
        <w:t xml:space="preserve">(9)承担国家、自治区、地区及县级交付的科技推广基础上的组织实施。</w:t>
      </w:r>
      <w:r>
        <w:cr/>
      </w:r>
      <w:r>
        <w:rPr>
          <w:rFonts w:ascii="仿宋_GB2312" w:eastAsia="仿宋_GB2312" w:hAnsi="宋体" w:hint="eastAsia"/>
          <w:b/>
          <w:sz w:val="32"/>
          <w:szCs w:val="32"/>
        </w:rPr>
        <w:br/>
      </w:r>
      <w:r>
        <w:rPr>
          <w:rFonts w:ascii="仿宋_GB2312" w:eastAsia="仿宋_GB2312" w:hAnsi="宋体" w:hint="eastAsia"/>
          <w:b/>
          <w:sz w:val="32"/>
          <w:szCs w:val="32"/>
        </w:rPr>
        <w:t xml:space="preserve">(10)积极引进、推广具有先进性的新机具和农机新技术。</w:t>
      </w:r>
      <w:r>
        <w:cr/>
      </w:r>
      <w:r>
        <w:rPr>
          <w:rFonts w:ascii="仿宋_GB2312" w:eastAsia="仿宋_GB2312" w:hAnsi="宋体" w:hint="eastAsia"/>
          <w:b/>
          <w:sz w:val="32"/>
          <w:szCs w:val="32"/>
        </w:rPr>
        <w:br/>
      </w:r>
      <w:r>
        <w:rPr>
          <w:rFonts w:ascii="仿宋_GB2312" w:eastAsia="仿宋_GB2312" w:hAnsi="宋体" w:hint="eastAsia"/>
          <w:b/>
          <w:sz w:val="32"/>
          <w:szCs w:val="32"/>
        </w:rPr>
        <w:t xml:space="preserve">(11)承办县农业农村局交办的其它工作。</w:t>
      </w:r>
      <w:r>
        <w:cr/>
      </w:r>
      <w:r>
        <w:rPr>
          <w:rFonts w:ascii="仿宋_GB2312" w:eastAsia="仿宋_GB2312" w:hAnsi="宋体" w:hint="eastAsia"/>
          <w:b/>
          <w:sz w:val="32"/>
          <w:szCs w:val="32"/>
        </w:rPr>
        <w:br/>
      </w:r>
      <w:r>
        <w:rPr>
          <w:rFonts w:ascii="仿宋_GB2312" w:eastAsia="仿宋_GB2312" w:hAnsi="宋体" w:hint="eastAsia"/>
          <w:b/>
          <w:sz w:val="32"/>
          <w:szCs w:val="32"/>
        </w:rPr>
        <w:t xml:space="preserve">2.机构设置及人员情况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裕民县农业机械化技术学校包括本级机关及0个直属事业单位，机关内设3个科室（农机推广站、办公室、财务室）。</w:t>
      </w:r>
      <w:r>
        <w:cr/>
      </w:r>
      <w:r>
        <w:rPr>
          <w:rFonts w:ascii="仿宋_GB2312" w:eastAsia="仿宋_GB2312" w:hAnsi="宋体" w:hint="eastAsia"/>
          <w:b/>
          <w:sz w:val="32"/>
          <w:szCs w:val="32"/>
        </w:rPr>
        <w:br/>
      </w:r>
      <w:r>
        <w:rPr>
          <w:rFonts w:ascii="仿宋_GB2312" w:eastAsia="仿宋_GB2312" w:hAnsi="宋体" w:hint="eastAsia"/>
          <w:b/>
          <w:sz w:val="32"/>
          <w:szCs w:val="32"/>
        </w:rPr>
        <w:t xml:space="preserve">裕民县农业机械化技术学校编制数9，实有人数9人，其中：在职9人，增加0人；退休15人，增加0人；离休0人，增加0人。</w:t>
      </w:r>
      <w:bookmarkStart w:id="2" w:name="_Hlk43849111"/>
      <w:bookmarkEnd w:id="2"/>
    </w:p>
    <w:p>
      <w:pPr>
        <w:spacing w:line="600" w:lineRule="exact"/>
        <w:ind w:firstLine="1018" w:firstLineChars="318"/>
        <w:jc w:val="left"/>
        <w:rPr>
          <w:rFonts w:ascii="黑体" w:eastAsia="黑体" w:hAnsi="黑体" w:cs="宋体" w:hint="eastAsia"/>
          <w:bCs/>
          <w:color w:val="333333"/>
          <w:sz w:val="32"/>
          <w:szCs w:val="32"/>
        </w:rPr>
      </w:pPr>
      <w:r>
        <w:rPr>
          <w:rStyle w:val="Strong"/>
          <w:rFonts w:ascii="楷体" w:eastAsia="楷体" w:hAnsi="楷体" w:cs="楷体" w:hint="eastAsia"/>
          <w:b w:val="0"/>
          <w:spacing w:val="-4"/>
          <w:sz w:val="32"/>
          <w:szCs w:val="32"/>
        </w:rPr>
        <w:t xml:space="preserve">(二)</w:t>
      </w:r>
      <w:r>
        <w:rPr>
          <w:rFonts w:ascii="黑体" w:eastAsia="黑体" w:hAnsi="黑体" w:cs="宋体" w:hint="eastAsia"/>
          <w:bCs/>
          <w:color w:val="333333"/>
          <w:sz w:val="32"/>
          <w:szCs w:val="32"/>
        </w:rPr>
        <w:t xml:space="preserve">部门单位年度重点工作：</w:t>
      </w:r>
    </w:p>
    <w:p>
      <w:pPr>
        <w:spacing w:line="600" w:lineRule="exact"/>
        <w:ind w:left="1273" w:firstLine="2" w:leftChars="606"/>
        <w:jc w:val="left"/>
        <w:rPr>
          <w:rFonts w:ascii="仿宋_GB2312" w:eastAsia="仿宋_GB2312" w:hAnsi="宋体" w:hint="eastAsia"/>
          <w:b/>
          <w:sz w:val="32"/>
          <w:szCs w:val="32"/>
        </w:rPr>
      </w:pPr>
      <w:r>
        <w:rPr>
          <w:rFonts w:ascii="仿宋_GB2312" w:eastAsia="仿宋_GB2312" w:hAnsi="宋体" w:hint="eastAsia"/>
          <w:b/>
          <w:sz w:val="32"/>
          <w:szCs w:val="32"/>
        </w:rPr>
        <w:t xml:space="preserve">1.年度总体目标</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农机校将紧紧围绕地委、县委提出的工作重点和任务，协同推进农业机械化和经济社会高质量发展为主线，以改善农业全面机械化为核心，以解决突出问题为重点，以落实农机安全生产为抓手，全力抓好农业机械化工作,为全县农业生产全程机械化和经济社会高质量发展打下良好的基础。农机管理，农机科研,农机化调研，引进和推广农机新技术与新机具促进农业机械化发展，优化农业机械装备结构。</w:t>
      </w:r>
      <w:r>
        <w:cr/>
      </w:r>
      <w:r>
        <w:rPr>
          <w:rFonts w:ascii="仿宋_GB2312" w:eastAsia="仿宋_GB2312" w:hAnsi="宋体" w:hint="eastAsia"/>
          <w:b/>
          <w:sz w:val="32"/>
          <w:szCs w:val="32"/>
        </w:rPr>
        <w:br/>
      </w:r>
      <w:r>
        <w:rPr>
          <w:rFonts w:ascii="仿宋_GB2312" w:eastAsia="仿宋_GB2312" w:hAnsi="宋体" w:hint="eastAsia"/>
          <w:b/>
          <w:sz w:val="32"/>
          <w:szCs w:val="32"/>
        </w:rPr>
        <w:t xml:space="preserve">2.重点工作计划</w:t>
      </w:r>
      <w:r>
        <w:cr/>
      </w:r>
      <w:r>
        <w:rPr>
          <w:rFonts w:ascii="仿宋_GB2312" w:eastAsia="仿宋_GB2312" w:hAnsi="宋体" w:hint="eastAsia"/>
          <w:b/>
          <w:sz w:val="32"/>
          <w:szCs w:val="32"/>
        </w:rPr>
        <w:br/>
      </w:r>
      <w:r>
        <w:rPr>
          <w:rFonts w:ascii="仿宋_GB2312" w:eastAsia="仿宋_GB2312" w:hAnsi="宋体" w:hint="eastAsia"/>
          <w:b/>
          <w:sz w:val="32"/>
          <w:szCs w:val="32"/>
        </w:rPr>
        <w:t xml:space="preserve">一是第一期农机驾驶操作员培训：于2024年1月18日至2月25日，本次农机驾驶操作培训人数为34名学员,其中30名学员参加了本次考试，考试不合格人数3名，退学人数1名，最终考试合格30人，合格率91%。二是第一期大型工程机械培训：2024年3月6日至4月5日，本次考试人数为45人，其中合格人数38人，不合格人数3人，退学4人，及格率93%。三是第二期大型工程机械培训：2024年3月27日至4月26日，本次考试人数为29人，其中合格人数26人，不合格人数2人，退学1人，及格率93%。通过这三期培训考试，提高了广大学员的驾驶大型工程机械技能及农机驾驶操作技能，增强了操作人员自觉遵守和严格执行交通法律法规的意识，为扎实做好全地区大型工程机械安全生产工作奠定了坚实的基础。</w:t>
      </w:r>
    </w:p>
    <w:p>
      <w:pPr>
        <w:snapToGrid w:val="0"/>
        <w:spacing w:line="540" w:lineRule="exact"/>
        <w:ind w:left="993"/>
        <w:rPr>
          <w:rFonts w:ascii="黑体" w:eastAsia="黑体" w:hAnsi="黑体" w:cs="宋体" w:hint="eastAsia"/>
          <w:b/>
          <w:color w:val="333333"/>
          <w:sz w:val="32"/>
          <w:szCs w:val="32"/>
        </w:rPr>
      </w:pPr>
      <w:r>
        <w:rPr>
          <w:rStyle w:val="Strong"/>
          <w:rFonts w:ascii="楷体" w:eastAsia="楷体" w:hAnsi="楷体" w:cs="楷体" w:hint="eastAsia"/>
          <w:b w:val="0"/>
          <w:spacing w:val="-4"/>
          <w:sz w:val="32"/>
          <w:szCs w:val="32"/>
        </w:rPr>
        <w:t xml:space="preserve">(三)</w:t>
      </w:r>
      <w:r>
        <w:rPr>
          <w:rFonts w:ascii="黑体" w:eastAsia="黑体" w:hAnsi="黑体" w:cs="宋体" w:hint="eastAsia"/>
          <w:bCs/>
          <w:color w:val="333333"/>
          <w:sz w:val="32"/>
          <w:szCs w:val="32"/>
        </w:rPr>
        <w:t xml:space="preserve">部门单位整体预算规模及安排情况：</w:t>
      </w:r>
    </w:p>
    <w:p>
      <w:pPr>
        <w:spacing w:line="600" w:lineRule="exact"/>
        <w:ind w:left="1273" w:firstLine="3" w:leftChars="606" w:firstLineChars="1"/>
        <w:jc w:val="left"/>
        <w:rPr>
          <w:rFonts w:ascii="仿宋_GB2312" w:eastAsia="仿宋_GB2312" w:hAnsi="宋体" w:hint="eastAsia"/>
          <w:b/>
          <w:sz w:val="32"/>
          <w:szCs w:val="32"/>
        </w:rPr>
      </w:pPr>
      <w:r>
        <w:rPr>
          <w:rFonts w:ascii="仿宋_GB2312" w:eastAsia="仿宋_GB2312" w:hAnsi="宋体" w:hint="eastAsia"/>
          <w:b/>
          <w:sz w:val="32"/>
          <w:szCs w:val="32"/>
        </w:rPr>
        <w:t xml:space="preserve">2024年裕民县农业机械化技术学校单位年初预算安排172.76万元，其中财政拨款172.76万元，其他资金0万元，主要用于主要用于发放人员工资及保障单位基本办公需求。年中调整10.24万元，调整后全年预算183.01万元，预算调整率5.94%，调整预算的主要原因为人员工资调整，2023年度绩效考核工资。</w:t>
      </w: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部门单位整体支出管理及使用情况</w:t>
      </w:r>
    </w:p>
    <w:p>
      <w:pPr>
        <w:spacing w:line="600" w:lineRule="exact"/>
        <w:ind w:left="1276" w:firstLine="13" w:firstLineChars="4"/>
        <w:jc w:val="left"/>
        <w:rPr>
          <w:rFonts w:ascii="仿宋_GB2312" w:eastAsia="仿宋_GB2312" w:hAnsi="宋体" w:hint="eastAsia"/>
          <w:b/>
          <w:sz w:val="32"/>
          <w:szCs w:val="32"/>
        </w:rPr>
      </w:pPr>
      <w:r>
        <w:rPr>
          <w:rFonts w:ascii="仿宋_GB2312" w:eastAsia="仿宋_GB2312" w:hAnsi="宋体" w:hint="eastAsia"/>
          <w:b/>
          <w:sz w:val="32"/>
          <w:szCs w:val="32"/>
        </w:rPr>
        <w:t xml:space="preserve">（一）部门单位整体支出管理情况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1.预算编制</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cr/>
      </w:r>
      <w:r>
        <w:rPr>
          <w:rFonts w:ascii="仿宋_GB2312" w:eastAsia="仿宋_GB2312" w:hAnsi="宋体" w:hint="eastAsia"/>
          <w:b/>
          <w:sz w:val="32"/>
          <w:szCs w:val="32"/>
        </w:rPr>
        <w:br/>
      </w:r>
      <w:r>
        <w:rPr>
          <w:rFonts w:ascii="仿宋_GB2312" w:eastAsia="仿宋_GB2312" w:hAnsi="宋体" w:hint="eastAsia"/>
          <w:b/>
          <w:sz w:val="32"/>
          <w:szCs w:val="32"/>
        </w:rPr>
        <w:t xml:space="preserve">2.预算执行</w:t>
      </w:r>
      <w:r>
        <w:cr/>
      </w:r>
      <w:r>
        <w:rPr>
          <w:rFonts w:ascii="仿宋_GB2312" w:eastAsia="仿宋_GB2312" w:hAnsi="宋体" w:hint="eastAsia"/>
          <w:b/>
          <w:sz w:val="32"/>
          <w:szCs w:val="32"/>
        </w:rPr>
        <w:br/>
      </w:r>
      <w:r>
        <w:rPr>
          <w:rFonts w:ascii="仿宋_GB2312" w:eastAsia="仿宋_GB2312" w:hAnsi="宋体" w:hint="eastAsia"/>
          <w:b/>
          <w:sz w:val="32"/>
          <w:szCs w:val="32"/>
        </w:rPr>
        <w:t xml:space="preserve">裕民县财政批复预算后，我单位按要求及时制定并报批部门预算支出计划，严格落实预算执行定期分析机制，靠前抓好支出执行，坚持严肃财经纪律，硬化预算约束，持续树牢厉行节约理念，严控一般性支出，努力降低事业运行成本。</w:t>
      </w:r>
      <w:r>
        <w:cr/>
      </w:r>
      <w:r>
        <w:rPr>
          <w:rFonts w:ascii="仿宋_GB2312" w:eastAsia="仿宋_GB2312" w:hAnsi="宋体" w:hint="eastAsia"/>
          <w:b/>
          <w:sz w:val="32"/>
          <w:szCs w:val="32"/>
        </w:rPr>
        <w:br/>
      </w:r>
      <w:r>
        <w:rPr>
          <w:rFonts w:ascii="仿宋_GB2312" w:eastAsia="仿宋_GB2312" w:hAnsi="宋体" w:hint="eastAsia"/>
          <w:b/>
          <w:sz w:val="32"/>
          <w:szCs w:val="32"/>
        </w:rPr>
        <w:t xml:space="preserve">3.绩效管理</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cr/>
      </w:r>
      <w:r>
        <w:rPr>
          <w:rFonts w:ascii="仿宋_GB2312" w:eastAsia="仿宋_GB2312" w:hAnsi="宋体" w:hint="eastAsia"/>
          <w:b/>
          <w:sz w:val="32"/>
          <w:szCs w:val="32"/>
        </w:rPr>
        <w:br/>
      </w:r>
      <w:r>
        <w:rPr>
          <w:rFonts w:ascii="仿宋_GB2312" w:eastAsia="仿宋_GB2312" w:hAnsi="宋体" w:hint="eastAsia"/>
          <w:b/>
          <w:sz w:val="32"/>
          <w:szCs w:val="32"/>
        </w:rPr>
        <w:t xml:space="preserve">4.信息公开</w:t>
      </w:r>
      <w:r>
        <w:cr/>
      </w:r>
      <w:r>
        <w:rPr>
          <w:rFonts w:ascii="仿宋_GB2312" w:eastAsia="仿宋_GB2312" w:hAnsi="宋体" w:hint="eastAsia"/>
          <w:b/>
          <w:sz w:val="32"/>
          <w:szCs w:val="32"/>
        </w:rPr>
        <w:br/>
      </w:r>
      <w:r>
        <w:rPr>
          <w:rFonts w:ascii="仿宋_GB2312" w:eastAsia="仿宋_GB2312" w:hAnsi="宋体" w:hint="eastAsia"/>
          <w:b/>
          <w:sz w:val="32"/>
          <w:szCs w:val="32"/>
        </w:rPr>
        <w:t xml:space="preserve">我单位已按要求在裕民县人民政府门户网站公开部门预算信息，同步公开绩效目标表；在裕民县人民政府门户网站公开部门决算信息，同步公开自评表及自评报告。</w:t>
      </w:r>
      <w:r>
        <w:cr/>
      </w:r>
      <w:r>
        <w:rPr>
          <w:rFonts w:ascii="仿宋_GB2312" w:eastAsia="仿宋_GB2312" w:hAnsi="宋体" w:hint="eastAsia"/>
          <w:b/>
          <w:sz w:val="32"/>
          <w:szCs w:val="32"/>
        </w:rPr>
        <w:br/>
      </w:r>
      <w:r>
        <w:rPr>
          <w:rFonts w:ascii="仿宋_GB2312" w:eastAsia="仿宋_GB2312" w:hAnsi="宋体" w:hint="eastAsia"/>
          <w:b/>
          <w:sz w:val="32"/>
          <w:szCs w:val="32"/>
        </w:rPr>
        <w:t xml:space="preserve">（二）部门单位整体支出使用情况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1.基本支出情况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基本支出180.55万元，包括工资福利支出161.17万元，商品和服务支出7.32万元，对个人和家庭的补助12.05万元，资本性支出0万元。其中：“三公”经费支出1.24万元，比上年减少0.31万元，主要原因是本年度严格控制公务用车支出，较上年减少。会议费支出0万元，比上年增加0万元，主要原因是我单位2024年度无大型会议支出；培训费支出0万元，比上年增加0万元，主要原因是我单位2024年度采用网络及线上培训及学习，无培训费支出。</w:t>
      </w:r>
      <w:r>
        <w:cr/>
      </w:r>
      <w:r>
        <w:rPr>
          <w:rFonts w:ascii="仿宋_GB2312" w:eastAsia="仿宋_GB2312" w:hAnsi="宋体" w:hint="eastAsia"/>
          <w:b/>
          <w:sz w:val="32"/>
          <w:szCs w:val="32"/>
        </w:rPr>
        <w:br/>
      </w:r>
      <w:r>
        <w:rPr>
          <w:rFonts w:ascii="仿宋_GB2312" w:eastAsia="仿宋_GB2312" w:hAnsi="宋体" w:hint="eastAsia"/>
          <w:b/>
          <w:sz w:val="32"/>
          <w:szCs w:val="32"/>
        </w:rPr>
        <w:t xml:space="preserve">2.专项资金支出情况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2024年专项项目支出0万元，占总支出的0％。</w:t>
      </w:r>
      <w:r>
        <w:cr/>
      </w:r>
      <w:r>
        <w:rPr>
          <w:rFonts w:ascii="仿宋_GB2312" w:eastAsia="仿宋_GB2312" w:hAnsi="宋体" w:hint="eastAsia"/>
          <w:b/>
          <w:sz w:val="32"/>
          <w:szCs w:val="32"/>
        </w:rPr>
        <w:br/>
      </w:r>
      <w:r>
        <w:rPr>
          <w:rFonts w:ascii="仿宋_GB2312" w:eastAsia="仿宋_GB2312" w:hAnsi="宋体" w:hint="eastAsia"/>
          <w:b/>
          <w:sz w:val="32"/>
          <w:szCs w:val="32"/>
        </w:rPr>
        <w:t xml:space="preserve">3.部门单位专项组织实施情况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年初我单位下发的0个专项工作计划，对项目的工作分工、任务分配、资金落实、完成时限等提出了明确、具体的要求，以确保项目保质、保量、按时完成。截至2024年12月31日，完成专项0个，未完成专项0个。</w:t>
      </w:r>
    </w:p>
    <w:p>
      <w:pPr>
        <w:numPr>
          <w:ilvl w:val="0"/>
          <w:numId w:val="3"/>
        </w:numPr>
        <w:snapToGrid w:val="0"/>
        <w:spacing w:line="540" w:lineRule="exact"/>
        <w:rPr>
          <w:rFonts w:ascii="黑体" w:eastAsia="黑体" w:hAnsi="黑体" w:cs="宋体" w:hint="eastAsia"/>
          <w:color w:val="333333"/>
          <w:sz w:val="32"/>
          <w:szCs w:val="32"/>
        </w:rPr>
      </w:pPr>
      <w:r>
        <w:rPr>
          <w:rFonts w:ascii="黑体" w:eastAsia="黑体" w:hAnsi="黑体" w:cs="宋体"/>
          <w:color w:val="333333"/>
          <w:sz w:val="32"/>
          <w:szCs w:val="32"/>
        </w:rPr>
        <w:t xml:space="preserve">部门单位整体支出绩效分析</w:t>
      </w:r>
    </w:p>
    <w:p>
      <w:pPr>
        <w:spacing w:line="600" w:lineRule="exact"/>
        <w:ind w:left="1273" w:hanging="13" w:leftChars="600" w:hangingChars="4"/>
        <w:jc w:val="left"/>
        <w:rPr>
          <w:rFonts w:ascii="仿宋_GB2312" w:eastAsia="仿宋_GB2312" w:hAnsi="宋体" w:hint="eastAsia"/>
          <w:b/>
          <w:sz w:val="32"/>
          <w:szCs w:val="32"/>
        </w:rPr>
      </w:pPr>
      <w:r>
        <w:rPr>
          <w:rFonts w:ascii="仿宋_GB2312" w:eastAsia="仿宋_GB2312" w:hAnsi="宋体" w:hint="eastAsia"/>
          <w:b/>
          <w:sz w:val="32"/>
          <w:szCs w:val="32"/>
        </w:rPr>
        <w:t xml:space="preserve">（一）预算执行情况分析</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2024裕民县农业机械化技术学校总支出180.55万元，预算执行率98.66%，其中社会保障和就业支出29.08万元，卫生健康支出7.09万元，农林水支出131.33万元，住房保障支出13.04万元。</w:t>
      </w:r>
      <w:r>
        <w:cr/>
      </w:r>
      <w:r>
        <w:rPr>
          <w:rFonts w:ascii="仿宋_GB2312" w:eastAsia="仿宋_GB2312" w:hAnsi="宋体" w:hint="eastAsia"/>
          <w:b/>
          <w:sz w:val="32"/>
          <w:szCs w:val="32"/>
        </w:rPr>
        <w:br/>
      </w:r>
      <w:r>
        <w:rPr>
          <w:rFonts w:ascii="仿宋_GB2312" w:eastAsia="仿宋_GB2312" w:hAnsi="宋体" w:hint="eastAsia"/>
          <w:b/>
          <w:sz w:val="32"/>
          <w:szCs w:val="32"/>
        </w:rPr>
        <w:t xml:space="preserve">1.基本支出使用情况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2024年，裕民县农业机械化技术学校单位基本支出180.55万元，占总支出的100％，其中：社会保障和就业支出29.08万元，卫生健康支出7.09万元，农林水支出131.33，住房保障支出,13.04万元。</w:t>
      </w:r>
      <w:r>
        <w:cr/>
      </w:r>
      <w:r>
        <w:rPr>
          <w:rFonts w:ascii="仿宋_GB2312" w:eastAsia="仿宋_GB2312" w:hAnsi="宋体" w:hint="eastAsia"/>
          <w:b/>
          <w:sz w:val="32"/>
          <w:szCs w:val="32"/>
        </w:rPr>
        <w:br/>
      </w:r>
      <w:r>
        <w:rPr>
          <w:rFonts w:ascii="仿宋_GB2312" w:eastAsia="仿宋_GB2312" w:hAnsi="宋体" w:hint="eastAsia"/>
          <w:b/>
          <w:sz w:val="32"/>
          <w:szCs w:val="32"/>
        </w:rPr>
        <w:t xml:space="preserve">2.项目支出使用情况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2024年，裕民县农业机械化技术学校项目支出0万元，占总支出的0％。</w:t>
      </w:r>
      <w:r>
        <w:cr/>
      </w:r>
      <w:r>
        <w:rPr>
          <w:rFonts w:ascii="仿宋_GB2312" w:eastAsia="仿宋_GB2312" w:hAnsi="宋体" w:hint="eastAsia"/>
          <w:b/>
          <w:sz w:val="32"/>
          <w:szCs w:val="32"/>
        </w:rPr>
        <w:br/>
      </w:r>
      <w:r>
        <w:rPr>
          <w:rFonts w:ascii="仿宋_GB2312" w:eastAsia="仿宋_GB2312" w:hAnsi="宋体" w:hint="eastAsia"/>
          <w:b/>
          <w:sz w:val="32"/>
          <w:szCs w:val="32"/>
        </w:rPr>
        <w:t xml:space="preserve">（二）部门单位整体支出绩效指标完成情况分析</w:t>
      </w:r>
      <w:r>
        <w:cr/>
      </w:r>
      <w:r>
        <w:rPr>
          <w:rFonts w:ascii="仿宋_GB2312" w:eastAsia="仿宋_GB2312" w:hAnsi="宋体" w:hint="eastAsia"/>
          <w:b/>
          <w:sz w:val="32"/>
          <w:szCs w:val="32"/>
        </w:rPr>
        <w:br/>
      </w:r>
      <w:r>
        <w:rPr>
          <w:rFonts w:ascii="仿宋_GB2312" w:eastAsia="仿宋_GB2312" w:hAnsi="宋体" w:hint="eastAsia"/>
          <w:b/>
          <w:sz w:val="32"/>
          <w:szCs w:val="32"/>
        </w:rPr>
        <w:t xml:space="preserve">年初我单位设置部门整体绩效目标中包括一级指标1个履职效能。二级指标1个数量指标。三级指标6个，指标完成情况分析如下：</w:t>
      </w:r>
      <w:r>
        <w:cr/>
      </w:r>
      <w:r>
        <w:rPr>
          <w:rFonts w:ascii="仿宋_GB2312" w:eastAsia="仿宋_GB2312" w:hAnsi="宋体" w:hint="eastAsia"/>
          <w:b/>
          <w:sz w:val="32"/>
          <w:szCs w:val="32"/>
        </w:rPr>
        <w:br/>
      </w:r>
      <w:r>
        <w:rPr>
          <w:rFonts w:ascii="仿宋_GB2312" w:eastAsia="仿宋_GB2312" w:hAnsi="宋体" w:hint="eastAsia"/>
          <w:b/>
          <w:sz w:val="32"/>
          <w:szCs w:val="32"/>
        </w:rPr>
        <w:t xml:space="preserve">1.履职效能</w:t>
      </w:r>
      <w:r>
        <w:cr/>
      </w:r>
      <w:r>
        <w:rPr>
          <w:rFonts w:ascii="仿宋_GB2312" w:eastAsia="仿宋_GB2312" w:hAnsi="宋体" w:hint="eastAsia"/>
          <w:b/>
          <w:sz w:val="32"/>
          <w:szCs w:val="32"/>
        </w:rPr>
        <w:br/>
      </w:r>
      <w:r>
        <w:rPr>
          <w:rFonts w:ascii="仿宋_GB2312" w:eastAsia="仿宋_GB2312" w:hAnsi="宋体" w:hint="eastAsia"/>
          <w:b/>
          <w:sz w:val="32"/>
          <w:szCs w:val="32"/>
        </w:rPr>
        <w:t xml:space="preserve">（1）数量指标</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1：农机化调研次数，指标值：&gt;=2次，年中监控完成值：1次，自评完成值：2次，指标完成率100%，偏差0%，偏差原因及改进措施：无偏差，指标成效分析:通过完成农机化调研次数2次工作，有效掌握我县农机化结构，达到为我县农机化建设提供依据的效果。</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2：农机管理县数，指标值：1个，年中监控完成值：1个，自评完成值：1个，指标完成率100%，偏差0%，偏差原因及改进措施：无偏差，指标成效分析:通过完成农机管理县数1个工作，有效提升我县农机化覆盖率，达到提升农业生产机械化的效果。</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3：开展农机培训次数，指标值：3次，年中监控完成值：3次，自评完成值：3次，指标完成率100%，偏差0%，偏差原因及改进措施：无偏差，指标成效分析:通过完成开展农机培训次数3次工作，有效提升我县农机作业水平，达到安全、规范使用农业机械的效果。</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4：开展农机宣传次数，指标值：5次，年中监控完成值：3次，自评完成值：5次，指标完成率100%，偏差0%，偏差原因及改进措施：无偏差，指标成效分析:通过完成开展农机宣传次数5次工作，有效提升我县农机手安全生产意识，达到农机安全效果。</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5：开展田间操作示范次数，指标值：3次，年中监控完成值：2次，自评完成值：3次，指标完成率100%，偏差0%，偏差原因及改进措施：无偏差，指标成效分析:通过完成开展田间操作示范次数3次工作，有效提升我县农机操作规范性，达到规范使用农业机械的效果。</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6：培训学员人数，指标值：40人，年中监控完成值：94人，自评完成值：94人，指标完成率235%，偏差0%，偏差原因及改进措施：无偏差，指标成效分析:通过完成开展培训学员人数工作，有效提升我县农机从业人员知识及操作能力，达到全面提升我县农业机械作业水平的效果。</w:t>
      </w: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评价结论</w:t>
      </w:r>
    </w:p>
    <w:p>
      <w:pPr>
        <w:spacing w:line="600" w:lineRule="exact"/>
        <w:ind w:left="1276" w:firstLine="13" w:firstLineChars="4"/>
        <w:jc w:val="left"/>
        <w:rPr>
          <w:rFonts w:ascii="仿宋_GB2312" w:eastAsia="仿宋_GB2312" w:hAnsi="宋体" w:hint="eastAsia"/>
          <w:b/>
          <w:sz w:val="32"/>
          <w:szCs w:val="32"/>
        </w:rPr>
      </w:pPr>
      <w:r>
        <w:rPr>
          <w:rFonts w:ascii="仿宋_GB2312" w:eastAsia="仿宋_GB2312" w:hAnsi="宋体" w:hint="eastAsia"/>
          <w:b/>
          <w:sz w:val="32"/>
          <w:szCs w:val="32"/>
        </w:rPr>
        <w:t xml:space="preserve">2024年度部门整体支出绩效评价综合得分98.66分，评价结果为“优”。</w:t>
      </w: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存在的主要问题及原因分析</w:t>
      </w:r>
    </w:p>
    <w:p>
      <w:pPr>
        <w:spacing w:line="600" w:lineRule="exact"/>
        <w:ind w:left="1276" w:firstLine="13" w:firstLineChars="4"/>
        <w:jc w:val="left"/>
        <w:rPr>
          <w:rFonts w:ascii="仿宋_GB2312" w:eastAsia="仿宋_GB2312" w:hAnsi="宋体" w:hint="eastAsia"/>
          <w:b/>
          <w:sz w:val="32"/>
          <w:szCs w:val="32"/>
        </w:rPr>
      </w:pPr>
      <w:r>
        <w:rPr>
          <w:rFonts w:ascii="仿宋_GB2312" w:eastAsia="仿宋_GB2312" w:hAnsi="宋体" w:hint="eastAsia"/>
          <w:b/>
          <w:sz w:val="32"/>
          <w:szCs w:val="32"/>
        </w:rPr>
        <w:t xml:space="preserve">（一）绩效指标设置不够明确</w:t>
      </w:r>
      <w:r>
        <w:cr/>
      </w:r>
      <w:r>
        <w:rPr>
          <w:rFonts w:ascii="仿宋_GB2312" w:eastAsia="仿宋_GB2312" w:hAnsi="宋体" w:hint="eastAsia"/>
          <w:b/>
          <w:sz w:val="32"/>
          <w:szCs w:val="32"/>
        </w:rPr>
        <w:br/>
      </w:r>
      <w:r>
        <w:rPr>
          <w:rFonts w:ascii="仿宋_GB2312" w:eastAsia="仿宋_GB2312" w:hAnsi="宋体" w:hint="eastAsia"/>
          <w:b/>
          <w:sz w:val="32"/>
          <w:szCs w:val="32"/>
        </w:rPr>
        <w:t xml:space="preserve">我单位部分绩效指标设置存在不够精简、指标数据无法统计和指标值设置过低等问题，部分项目绩效指标值设定为定性的指标，指标设置的科学性、合理性有待进一步提高。</w:t>
      </w:r>
      <w:r>
        <w:cr/>
      </w:r>
      <w:r>
        <w:rPr>
          <w:rFonts w:ascii="仿宋_GB2312" w:eastAsia="仿宋_GB2312" w:hAnsi="宋体" w:hint="eastAsia"/>
          <w:b/>
          <w:sz w:val="32"/>
          <w:szCs w:val="32"/>
        </w:rPr>
        <w:br/>
      </w:r>
      <w:r>
        <w:rPr>
          <w:rFonts w:ascii="仿宋_GB2312" w:eastAsia="仿宋_GB2312" w:hAnsi="宋体" w:hint="eastAsia"/>
          <w:b/>
          <w:sz w:val="32"/>
          <w:szCs w:val="32"/>
        </w:rPr>
        <w:t xml:space="preserve">（二）固定资产账务管理不够细致、严谨</w:t>
      </w:r>
      <w:r>
        <w:cr/>
      </w:r>
      <w:r>
        <w:rPr>
          <w:rFonts w:ascii="仿宋_GB2312" w:eastAsia="仿宋_GB2312" w:hAnsi="宋体" w:hint="eastAsia"/>
          <w:b/>
          <w:sz w:val="32"/>
          <w:szCs w:val="32"/>
        </w:rPr>
        <w:br/>
      </w:r>
      <w:r>
        <w:rPr>
          <w:rFonts w:ascii="仿宋_GB2312" w:eastAsia="仿宋_GB2312" w:hAnsi="宋体" w:hint="eastAsia"/>
          <w:b/>
          <w:sz w:val="32"/>
          <w:szCs w:val="32"/>
        </w:rPr>
        <w:t xml:space="preserve">抽查发现，各单位固定资产账务管理普遍存在入账不及时、漏入、入账信息、金额不准确或资产台账未登记到具体使用人等问题。</w:t>
      </w: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改进措施和建议</w:t>
      </w:r>
    </w:p>
    <w:p>
      <w:pPr>
        <w:pStyle w:val="ListParagraph"/>
        <w:spacing w:line="600" w:lineRule="exact"/>
        <w:ind w:left="1368" w:firstLine="0" w:firstLineChars="0"/>
        <w:jc w:val="left"/>
        <w:rPr>
          <w:rFonts w:ascii="仿宋_GB2312" w:eastAsia="仿宋_GB2312" w:hAnsi="宋体" w:hint="eastAsia"/>
          <w:b/>
          <w:sz w:val="32"/>
          <w:szCs w:val="32"/>
        </w:rPr>
      </w:pPr>
      <w:r>
        <w:rPr>
          <w:rFonts w:ascii="仿宋_GB2312" w:eastAsia="仿宋_GB2312" w:hAnsi="宋体" w:hint="eastAsia"/>
          <w:b/>
          <w:sz w:val="32"/>
          <w:szCs w:val="32"/>
        </w:rPr>
        <w:t xml:space="preserve">（一）强化部门绩效管理体系建设</w:t>
      </w:r>
      <w:r>
        <w:rPr>
          <w:rFonts w:ascii="仿宋_GB2312" w:eastAsia="仿宋_GB2312" w:hAnsi="宋体" w:hint="eastAsia"/>
          <w:b/>
          <w:sz w:val="32"/>
          <w:szCs w:val="32"/>
        </w:rPr>
        <w:br/>
      </w:r>
      <w:r>
        <w:rPr>
          <w:rFonts w:ascii="仿宋_GB2312" w:eastAsia="仿宋_GB2312" w:hAnsi="宋体" w:hint="eastAsia"/>
          <w:b/>
          <w:sz w:val="32"/>
          <w:szCs w:val="32"/>
        </w:rPr>
        <w:t xml:space="preserve">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r>
        <w:rPr>
          <w:rFonts w:ascii="仿宋_GB2312" w:eastAsia="仿宋_GB2312" w:hAnsi="宋体" w:hint="eastAsia"/>
          <w:b/>
          <w:sz w:val="32"/>
          <w:szCs w:val="32"/>
        </w:rPr>
        <w:br/>
      </w:r>
      <w:r>
        <w:rPr>
          <w:rFonts w:ascii="仿宋_GB2312" w:eastAsia="仿宋_GB2312" w:hAnsi="宋体" w:hint="eastAsia"/>
          <w:b/>
          <w:sz w:val="32"/>
          <w:szCs w:val="32"/>
        </w:rPr>
        <w:t xml:space="preserve">（二）加强固定资产账务管理，确保账实相符</w:t>
      </w:r>
      <w:r>
        <w:rPr>
          <w:rFonts w:ascii="仿宋_GB2312" w:eastAsia="仿宋_GB2312" w:hAnsi="宋体" w:hint="eastAsia"/>
          <w:b/>
          <w:sz w:val="32"/>
          <w:szCs w:val="32"/>
        </w:rPr>
        <w:br/>
      </w:r>
      <w:r>
        <w:rPr>
          <w:rFonts w:ascii="仿宋_GB2312" w:eastAsia="仿宋_GB2312" w:hAnsi="宋体" w:hint="eastAsia"/>
          <w:b/>
          <w:sz w:val="32"/>
          <w:szCs w:val="32"/>
        </w:rPr>
        <w:t xml:space="preserve">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r>
        <w:rPr>
          <w:rFonts w:ascii="仿宋_GB2312" w:eastAsia="仿宋_GB2312" w:hAnsi="宋体" w:hint="eastAsia"/>
          <w:b/>
          <w:sz w:val="32"/>
          <w:szCs w:val="32"/>
        </w:rPr>
        <w:br/>
      </w:r>
      <w:r>
        <w:rPr>
          <w:rFonts w:ascii="仿宋_GB2312" w:eastAsia="仿宋_GB2312" w:hAnsi="宋体" w:hint="eastAsia"/>
          <w:b/>
          <w:sz w:val="32"/>
          <w:szCs w:val="32"/>
        </w:rPr>
        <w:t xml:space="preserve">（三）建立动态分析管理机制，提高项目监管主动性</w:t>
      </w:r>
      <w:r>
        <w:rPr>
          <w:rFonts w:ascii="仿宋_GB2312" w:eastAsia="仿宋_GB2312" w:hAnsi="宋体" w:hint="eastAsia"/>
          <w:b/>
          <w:sz w:val="32"/>
          <w:szCs w:val="32"/>
        </w:rPr>
        <w:br/>
      </w:r>
      <w:r>
        <w:rPr>
          <w:rFonts w:ascii="仿宋_GB2312" w:eastAsia="仿宋_GB2312" w:hAnsi="宋体" w:hint="eastAsia"/>
          <w:b/>
          <w:sz w:val="32"/>
          <w:szCs w:val="32"/>
        </w:rPr>
        <w:t xml:space="preserve">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pPr>
        <w:spacing w:line="600" w:lineRule="exact"/>
        <w:ind w:firstLine="640" w:firstLineChars="200"/>
        <w:jc w:val="left"/>
        <w:rPr>
          <w:rFonts w:ascii="黑体" w:eastAsia="黑体" w:hAnsi="黑体" w:cs="宋体" w:hint="eastAsia"/>
          <w:b/>
          <w:color w:val="333333"/>
        </w:rPr>
      </w:pPr>
      <w:r>
        <w:rPr>
          <w:rStyle w:val="Strong"/>
          <w:rFonts w:ascii="黑体" w:eastAsia="黑体" w:hAnsi="黑体" w:hint="eastAsia"/>
          <w:b w:val="0"/>
          <w:bCs w:val="0"/>
          <w:spacing w:val="-4"/>
          <w:sz w:val="32"/>
          <w:szCs w:val="32"/>
        </w:rPr>
        <w:t xml:space="preserve">七、</w:t>
      </w:r>
      <w:r>
        <w:rPr>
          <w:rFonts w:ascii="黑体" w:eastAsia="黑体" w:hAnsi="黑体" w:cs="宋体" w:hint="eastAsia"/>
          <w:bCs/>
          <w:color w:val="333333"/>
          <w:sz w:val="32"/>
          <w:szCs w:val="32"/>
        </w:rPr>
        <w:t xml:space="preserve">附表：《部门整体支出绩效自评表》</w:t>
      </w:r>
    </w:p>
    <w:p>
      <w:pPr/>
    </w:p>
    <w:sectPr>
      <w:pgSz w:w="11906" w:h="16838" w:orient="portrait"/>
      <w:pgMar w:top="1440" w:right="1800" w:bottom="1440" w:left="1800" w:header="851" w:footer="992" w:gutter="0"/>
      <w:pgBorders/>
      <w:cols w:num="1" w:space="425">
        <w:col w:w="8306"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japaneseCounting"/>
      <w:suff w:val="tab"/>
      <w:lvlText w:val="%1、"/>
      <w:lvlJc w:val="left"/>
      <w:pPr>
        <w:ind w:left="1368" w:hanging="720"/>
      </w:pPr>
      <w:rPr>
        <w:rFonts w:hint="default"/>
      </w:rPr>
    </w:lvl>
    <w:lvl w:ilvl="1">
      <w:start w:val="1"/>
      <w:numFmt w:val="lowerLetter"/>
      <w:suff w:val="tab"/>
      <w:lvlText w:val="%2)"/>
      <w:lvlJc w:val="left"/>
      <w:pPr>
        <w:ind w:left="1488" w:hanging="420"/>
      </w:pPr>
      <w:rPr/>
    </w:lvl>
    <w:lvl w:ilvl="2">
      <w:start w:val="1"/>
      <w:numFmt w:val="lowerRoman"/>
      <w:suff w:val="tab"/>
      <w:lvlText w:val="%3."/>
      <w:lvlJc w:val="right"/>
      <w:pPr>
        <w:ind w:left="1908" w:hanging="420"/>
      </w:pPr>
      <w:rPr/>
    </w:lvl>
    <w:lvl w:ilvl="3">
      <w:start w:val="1"/>
      <w:numFmt w:val="decimal"/>
      <w:suff w:val="tab"/>
      <w:lvlText w:val="%4."/>
      <w:lvlJc w:val="left"/>
      <w:pPr>
        <w:ind w:left="2328" w:hanging="420"/>
      </w:pPr>
      <w:rPr/>
    </w:lvl>
    <w:lvl w:ilvl="4">
      <w:start w:val="1"/>
      <w:numFmt w:val="lowerLetter"/>
      <w:suff w:val="tab"/>
      <w:lvlText w:val="%5)"/>
      <w:lvlJc w:val="left"/>
      <w:pPr>
        <w:ind w:left="2748" w:hanging="420"/>
      </w:pPr>
      <w:rPr/>
    </w:lvl>
    <w:lvl w:ilvl="5">
      <w:start w:val="1"/>
      <w:numFmt w:val="lowerRoman"/>
      <w:suff w:val="tab"/>
      <w:lvlText w:val="%6."/>
      <w:lvlJc w:val="right"/>
      <w:pPr>
        <w:ind w:left="3168" w:hanging="420"/>
      </w:pPr>
      <w:rPr/>
    </w:lvl>
    <w:lvl w:ilvl="6">
      <w:start w:val="1"/>
      <w:numFmt w:val="decimal"/>
      <w:suff w:val="tab"/>
      <w:lvlText w:val="%7."/>
      <w:lvlJc w:val="left"/>
      <w:pPr>
        <w:ind w:left="3588" w:hanging="420"/>
      </w:pPr>
      <w:rPr/>
    </w:lvl>
    <w:lvl w:ilvl="7">
      <w:start w:val="1"/>
      <w:numFmt w:val="lowerLetter"/>
      <w:suff w:val="tab"/>
      <w:lvlText w:val="%8)"/>
      <w:lvlJc w:val="left"/>
      <w:pPr>
        <w:ind w:left="4008" w:hanging="420"/>
      </w:pPr>
      <w:rPr/>
    </w:lvl>
    <w:lvl w:ilvl="8">
      <w:start w:val="1"/>
      <w:numFmt w:val="lowerRoman"/>
      <w:suff w:val="tab"/>
      <w:lvlText w:val="%9."/>
      <w:lvlJc w:val="right"/>
      <w:pPr>
        <w:ind w:left="4428" w:hanging="420"/>
      </w:pPr>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4">
    <w:name w:val="Heading 4"/>
    <w:basedOn w:val="Normal"/>
    <w:next w:val="Normal"/>
    <w:link w:val="标题4字符"/>
    <w:uiPriority w:val="9"/>
    <w:semiHidden/>
    <w:unhideWhenUsed/>
    <w:qFormat/>
    <w:pPr>
      <w:keepNext/>
      <w:keepLines/>
      <w:spacing w:before="280" w:after="290" w:line="376" w:lineRule="auto"/>
      <w:outlineLvl w:val="3"/>
    </w:pPr>
    <w:rPr>
      <w:rFonts w:ascii="Calibri Light" w:eastAsia="宋体" w:hAnsi="Calibri Light" w:asciiTheme="majorHAnsi" w:eastAsiaTheme="majorEastAsia" w:hAnsiTheme="majorHAnsi" w:cs="Times New Roman" w:cstheme="majorBidi"/>
      <w:b/>
      <w:bCs/>
      <w:sz w:val="28"/>
      <w:szCs w:val="28"/>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Footer">
    <w:name w:val="Footer"/>
    <w:basedOn w:val="Normal"/>
    <w:link w:val="页脚字符"/>
    <w:uiPriority w:val="99"/>
    <w:unhideWhenUsed/>
    <w:pPr>
      <w:tabs>
        <w:tab w:val="center" w:pos="4153"/>
        <w:tab w:val="right" w:pos="8306"/>
      </w:tabs>
      <w:snapToGrid w:val="0"/>
      <w:jc w:val="left"/>
    </w:pPr>
    <w:rPr>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sz w:val="18"/>
      <w:szCs w:val="18"/>
    </w:rPr>
  </w:style>
  <w:style w:type="character" w:styleId="Strong">
    <w:name w:val="Strong"/>
    <w:basedOn w:val="DefaultParagraphFont"/>
    <w:qFormat/>
    <w:rPr>
      <w:b/>
      <w:bCs/>
    </w:rPr>
  </w:style>
  <w:style w:type="character" w:customStyle="1" w:styleId="页眉字符">
    <w:name w:val="页眉 字符"/>
    <w:basedOn w:val="DefaultParagraphFont"/>
    <w:link w:val="Header"/>
    <w:uiPriority w:val="99"/>
    <w:rPr>
      <w:sz w:val="18"/>
      <w:szCs w:val="18"/>
    </w:rPr>
  </w:style>
  <w:style w:type="character" w:customStyle="1" w:styleId="页脚字符">
    <w:name w:val="页脚 字符"/>
    <w:basedOn w:val="DefaultParagraphFont"/>
    <w:link w:val="Footer"/>
    <w:uiPriority w:val="99"/>
    <w:rPr>
      <w:sz w:val="18"/>
      <w:szCs w:val="18"/>
    </w:rPr>
  </w:style>
  <w:style w:type="paragraph" w:styleId="ListParagraph">
    <w:name w:val="List Paragraph"/>
    <w:basedOn w:val="Normal"/>
    <w:uiPriority w:val="99"/>
    <w:qFormat/>
    <w:pPr>
      <w:ind w:firstLine="420" w:firstLineChars="200"/>
    </w:pPr>
    <w:rPr/>
  </w:style>
  <w:style w:type="character" w:customStyle="1" w:styleId="标题4字符">
    <w:name w:val="标题 4 字符"/>
    <w:basedOn w:val="DefaultParagraphFont"/>
    <w:link w:val="Heading4"/>
    <w:uiPriority w:val="9"/>
    <w:semiHidden/>
    <w:rPr>
      <w:rFonts w:ascii="Calibri Light" w:eastAsia="宋体" w:hAnsi="Calibri Light" w:asciiTheme="majorHAnsi" w:eastAsiaTheme="majorEastAsia" w:hAnsiTheme="majorHAnsi" w:cs="Times New Roman" w:cstheme="majorBidi"/>
      <w:b/>
      <w:bCs/>
      <w:sz w:val="28"/>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25</TotalTime>
  <Pages>2</Pages>
  <Words>58</Words>
  <Characters>336</Characters>
  <Application>WPS Office_11.8.2.8621_F1E327BC-269C-435d-A152-05C5408002CA</Application>
  <DocSecurity>0</DocSecurity>
  <Lines>2</Lines>
  <Paragraphs>1</Paragraphs>
  <CharactersWithSpaces>393</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Administrator</cp:lastModifiedBy>
  <cp:revision>27</cp:revision>
  <dcterms:created xsi:type="dcterms:W3CDTF">2020-06-04T05:22:00Z</dcterms:created>
  <dcterms:modified xsi:type="dcterms:W3CDTF">2025-08-01T03:00:07Z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ies>
</file>